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0"/>
          <w:szCs w:val="20"/>
          <w:rtl w:val="0"/>
        </w:rPr>
        <w:t xml:space="preserve">Rubric for Team Product/Artifact: proposal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3240"/>
        <w:gridCol w:w="3240"/>
        <w:gridCol w:w="3240"/>
        <w:tblGridChange w:id="0">
          <w:tblGrid>
            <w:gridCol w:w="3240"/>
            <w:gridCol w:w="3240"/>
            <w:gridCol w:w="3240"/>
            <w:gridCol w:w="32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Below Standard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Approaching Standard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Meets Standard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Claim/Thesis responds to the DQ (20 points)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proposal contains an unidentifiable claim or vague position.  It has limited structure and organization.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proposal introduces an unclear or emerging claim that vaguely addresses the DQ.  The proposal attempts a structure and organization to support the DQ. (10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proposal introduces a claim that clearly addresses the DQ.  The structure of the proposal is aligned with the claim. (20 points)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Development (40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proposal contains limited reasons and evidence related to the claim and counterclaims or lacks counterclaims.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(10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proposal provides reasons and evidence that attempts to back up the claim and unclearly addresses counterclaims or lacks counterclaims.  The conclusion restates the claim.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(20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proposal provides sufficient reasons and evidence to back up the claim and address the counterclaims.  The conclusion ties to the claim and evidence. (40 points)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Cohesion (20 points)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text contains few, if any, words, phrases and clauses to link the major sections of the text. The text does not connect the claims and reasons.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text contains limited words, phrases, and clauses to link the major sections of the text. The text attempts to connect the claim and reasons. (10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text uses words, phrases, and clauses to link the major sections of the text. The text connects the claim and reasons. The text links the counterclaims to the claim.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(20 points)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Style and Conventions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(20 points)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text illustrates many inaccuracies in standard English conventions of usage and mechanics (grammar, spelling, and punctuation) which create confusion for the reader.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text demonstrates some accuracy in standard English conventions of usage and mechanics (grammar, spelling, and punctuation), and the errors are not causing confusion for the reader.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(10 points)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text demonstrates standard English conventions of usage and mechanics (grammar, spelling, and punctuation).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(20 points)</w:t>
              <w:tab/>
              <w:tab/>
              <w:tab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